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FC10F4"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1"/>
        <w:gridCol w:w="4978"/>
      </w:tblGrid>
      <w:tr w:rsidR="00586F20" w:rsidRPr="00E73D2F" w:rsidTr="00D27052">
        <w:tc>
          <w:tcPr>
            <w:tcW w:w="4038" w:type="dxa"/>
            <w:gridSpan w:val="2"/>
            <w:shd w:val="clear" w:color="auto" w:fill="auto"/>
          </w:tcPr>
          <w:p w:rsidR="009D72AA" w:rsidRPr="006F6A67" w:rsidRDefault="009D72AA" w:rsidP="00122023">
            <w:pPr>
              <w:rPr>
                <w:rFonts w:ascii="Arial" w:hAnsi="Arial"/>
              </w:rPr>
            </w:pPr>
            <w:r w:rsidRPr="00E73D2F">
              <w:rPr>
                <w:rFonts w:ascii="Arial" w:hAnsi="Arial"/>
                <w:b/>
              </w:rPr>
              <w:t>Officer:</w:t>
            </w:r>
            <w:r w:rsidR="00CE022F">
              <w:rPr>
                <w:rFonts w:ascii="Arial" w:hAnsi="Arial"/>
                <w:b/>
              </w:rPr>
              <w:t xml:space="preserve"> </w:t>
            </w:r>
            <w:r w:rsidR="006F6A67">
              <w:rPr>
                <w:rFonts w:ascii="Arial" w:hAnsi="Arial"/>
              </w:rPr>
              <w:t>Sarah Troman – Head of Neighbourhood Services</w:t>
            </w:r>
          </w:p>
        </w:tc>
        <w:tc>
          <w:tcPr>
            <w:tcW w:w="4978"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D27052" w:rsidRPr="00D27052">
              <w:rPr>
                <w:rFonts w:ascii="Arial" w:hAnsi="Arial"/>
              </w:rPr>
              <w:t>19-05-2022</w:t>
            </w:r>
          </w:p>
          <w:p w:rsidR="00136429" w:rsidRPr="00E73D2F" w:rsidRDefault="00136429" w:rsidP="00373837">
            <w:pPr>
              <w:rPr>
                <w:rFonts w:ascii="Arial" w:hAnsi="Arial"/>
              </w:rPr>
            </w:pPr>
          </w:p>
        </w:tc>
      </w:tr>
      <w:tr w:rsidR="00586F20" w:rsidRPr="00E73D2F" w:rsidTr="00D27052">
        <w:tc>
          <w:tcPr>
            <w:tcW w:w="9016" w:type="dxa"/>
            <w:gridSpan w:val="3"/>
            <w:shd w:val="clear" w:color="auto" w:fill="auto"/>
          </w:tcPr>
          <w:p w:rsidR="00154649" w:rsidRPr="00F60C00" w:rsidRDefault="00586F20" w:rsidP="00E524AE">
            <w:pPr>
              <w:rPr>
                <w:rFonts w:ascii="Arial" w:hAnsi="Arial"/>
              </w:rPr>
            </w:pPr>
            <w:r w:rsidRPr="00E73D2F">
              <w:rPr>
                <w:rFonts w:ascii="Arial" w:hAnsi="Arial"/>
                <w:b/>
              </w:rPr>
              <w:t xml:space="preserve">Title/Reference: </w:t>
            </w:r>
            <w:r w:rsidR="00154649">
              <w:rPr>
                <w:rFonts w:ascii="Arial" w:hAnsi="Arial"/>
                <w:b/>
              </w:rPr>
              <w:t xml:space="preserve"> </w:t>
            </w:r>
            <w:r w:rsidR="00F60C00">
              <w:rPr>
                <w:rFonts w:ascii="Arial" w:hAnsi="Arial"/>
              </w:rPr>
              <w:t>Acquisition of</w:t>
            </w:r>
            <w:r w:rsidR="0030796A">
              <w:rPr>
                <w:rFonts w:ascii="Arial" w:hAnsi="Arial"/>
              </w:rPr>
              <w:t xml:space="preserve"> Jensen Chipper</w:t>
            </w:r>
          </w:p>
          <w:p w:rsidR="00E74CDA" w:rsidRPr="00E73D2F" w:rsidRDefault="00557B22" w:rsidP="00122023">
            <w:pPr>
              <w:rPr>
                <w:rFonts w:ascii="Arial" w:hAnsi="Arial"/>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30796A">
              <w:rPr>
                <w:rFonts w:ascii="Arial" w:hAnsi="Arial"/>
              </w:rPr>
              <w:t>22/30/NS</w:t>
            </w:r>
          </w:p>
        </w:tc>
      </w:tr>
      <w:tr w:rsidR="00586F20" w:rsidRPr="00E73D2F" w:rsidTr="00D27052">
        <w:tc>
          <w:tcPr>
            <w:tcW w:w="9016"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CE022F">
              <w:rPr>
                <w:rFonts w:ascii="Arial" w:hAnsi="Arial"/>
                <w:b/>
              </w:rPr>
              <w:t xml:space="preserve"> </w:t>
            </w:r>
            <w:r w:rsidR="00CE022F" w:rsidRPr="00CE022F">
              <w:rPr>
                <w:rFonts w:ascii="Arial" w:hAnsi="Arial"/>
              </w:rPr>
              <w:t>Not applicable</w:t>
            </w:r>
          </w:p>
          <w:p w:rsidR="00E74CDA" w:rsidRPr="00E73D2F" w:rsidRDefault="00E74CDA" w:rsidP="00E524AE">
            <w:pPr>
              <w:rPr>
                <w:rFonts w:ascii="Arial" w:hAnsi="Arial"/>
              </w:rPr>
            </w:pPr>
          </w:p>
        </w:tc>
      </w:tr>
      <w:tr w:rsidR="00586F20" w:rsidRPr="00E73D2F" w:rsidTr="00D27052">
        <w:tc>
          <w:tcPr>
            <w:tcW w:w="9016"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762D5A" w:rsidRDefault="00762D5A" w:rsidP="00373837">
            <w:pPr>
              <w:jc w:val="both"/>
              <w:rPr>
                <w:rFonts w:ascii="Arial" w:hAnsi="Arial"/>
                <w:b/>
              </w:rPr>
            </w:pPr>
          </w:p>
          <w:p w:rsidR="008F1241" w:rsidRDefault="008F1241" w:rsidP="00373837">
            <w:pPr>
              <w:jc w:val="both"/>
              <w:rPr>
                <w:rFonts w:ascii="Arial" w:hAnsi="Arial"/>
              </w:rPr>
            </w:pPr>
            <w:r>
              <w:rPr>
                <w:rFonts w:ascii="Arial" w:hAnsi="Arial"/>
              </w:rPr>
              <w:t xml:space="preserve">Approval is given to the </w:t>
            </w:r>
            <w:r w:rsidR="00D0373E">
              <w:rPr>
                <w:rFonts w:ascii="Arial" w:hAnsi="Arial"/>
              </w:rPr>
              <w:t xml:space="preserve">Parks Supervisor </w:t>
            </w:r>
            <w:r>
              <w:rPr>
                <w:rFonts w:ascii="Arial" w:hAnsi="Arial"/>
              </w:rPr>
              <w:t>obtaining</w:t>
            </w:r>
            <w:r w:rsidR="00D0373E">
              <w:rPr>
                <w:rFonts w:ascii="Arial" w:hAnsi="Arial"/>
              </w:rPr>
              <w:t xml:space="preserve"> three quotes for the same machine from 3 local suppliers</w:t>
            </w:r>
            <w:r>
              <w:rPr>
                <w:rFonts w:ascii="Arial" w:hAnsi="Arial"/>
              </w:rPr>
              <w:t>.</w:t>
            </w:r>
            <w:r w:rsidR="00D0373E">
              <w:rPr>
                <w:rFonts w:ascii="Arial" w:hAnsi="Arial"/>
              </w:rPr>
              <w:t xml:space="preserve"> </w:t>
            </w:r>
            <w:r>
              <w:rPr>
                <w:rFonts w:ascii="Arial" w:hAnsi="Arial"/>
              </w:rPr>
              <w:t>T</w:t>
            </w:r>
            <w:r w:rsidR="0030796A">
              <w:rPr>
                <w:rFonts w:ascii="Arial" w:hAnsi="Arial"/>
              </w:rPr>
              <w:t xml:space="preserve">his is a trailed chipper </w:t>
            </w:r>
            <w:r w:rsidR="00955030">
              <w:rPr>
                <w:rFonts w:ascii="Arial" w:hAnsi="Arial"/>
              </w:rPr>
              <w:t>for the Park service</w:t>
            </w:r>
            <w:r>
              <w:rPr>
                <w:rFonts w:ascii="Arial" w:hAnsi="Arial"/>
              </w:rPr>
              <w:t>.</w:t>
            </w:r>
          </w:p>
          <w:p w:rsidR="008F1241" w:rsidRDefault="008F1241" w:rsidP="00373837">
            <w:pPr>
              <w:jc w:val="both"/>
              <w:rPr>
                <w:rFonts w:ascii="Arial" w:hAnsi="Arial"/>
              </w:rPr>
            </w:pPr>
          </w:p>
          <w:p w:rsidR="00F60C00" w:rsidRDefault="008F1241" w:rsidP="00373837">
            <w:pPr>
              <w:jc w:val="both"/>
              <w:rPr>
                <w:rFonts w:ascii="Arial" w:hAnsi="Arial"/>
              </w:rPr>
            </w:pPr>
            <w:r>
              <w:rPr>
                <w:rFonts w:ascii="Arial" w:hAnsi="Arial"/>
              </w:rPr>
              <w:t>O</w:t>
            </w:r>
            <w:r w:rsidR="00955030">
              <w:rPr>
                <w:rFonts w:ascii="Arial" w:hAnsi="Arial"/>
              </w:rPr>
              <w:t>nce the procurement process has been completed</w:t>
            </w:r>
            <w:r w:rsidR="00D0373E">
              <w:rPr>
                <w:rFonts w:ascii="Arial" w:hAnsi="Arial"/>
              </w:rPr>
              <w:t xml:space="preserve"> the</w:t>
            </w:r>
            <w:r>
              <w:rPr>
                <w:rFonts w:ascii="Arial" w:hAnsi="Arial"/>
              </w:rPr>
              <w:t xml:space="preserve"> Parks Supervisor is authorised</w:t>
            </w:r>
            <w:r w:rsidR="00D0373E">
              <w:rPr>
                <w:rFonts w:ascii="Arial" w:hAnsi="Arial"/>
              </w:rPr>
              <w:t xml:space="preserve"> to purchase the machine.</w:t>
            </w:r>
          </w:p>
          <w:p w:rsidR="00F60C00" w:rsidRDefault="00F60C00" w:rsidP="00373837">
            <w:pPr>
              <w:jc w:val="both"/>
              <w:rPr>
                <w:rFonts w:ascii="Arial" w:hAnsi="Arial"/>
              </w:rPr>
            </w:pPr>
          </w:p>
          <w:p w:rsidR="00F60C00" w:rsidRPr="00F60C00" w:rsidRDefault="00F60C00" w:rsidP="00373837">
            <w:pPr>
              <w:jc w:val="both"/>
              <w:rPr>
                <w:rFonts w:ascii="Arial" w:hAnsi="Arial"/>
              </w:rPr>
            </w:pPr>
            <w:r>
              <w:rPr>
                <w:rFonts w:ascii="Arial" w:hAnsi="Arial"/>
              </w:rPr>
              <w:t>The</w:t>
            </w:r>
            <w:r w:rsidR="0030796A">
              <w:rPr>
                <w:rFonts w:ascii="Arial" w:hAnsi="Arial"/>
              </w:rPr>
              <w:t xml:space="preserve"> price of the chipper is £23,850.00</w:t>
            </w:r>
          </w:p>
          <w:p w:rsidR="00154649" w:rsidRPr="00D27052" w:rsidRDefault="00154649" w:rsidP="00373837">
            <w:pPr>
              <w:jc w:val="both"/>
              <w:rPr>
                <w:rFonts w:ascii="Arial" w:hAnsi="Arial"/>
              </w:rPr>
            </w:pPr>
          </w:p>
          <w:p w:rsidR="00136429" w:rsidRPr="00E73D2F" w:rsidRDefault="00136429" w:rsidP="00373837">
            <w:pPr>
              <w:jc w:val="both"/>
              <w:rPr>
                <w:rFonts w:ascii="Arial" w:hAnsi="Arial"/>
              </w:rPr>
            </w:pPr>
          </w:p>
        </w:tc>
      </w:tr>
      <w:tr w:rsidR="003D5331" w:rsidRPr="00E73D2F" w:rsidTr="00D27052">
        <w:tc>
          <w:tcPr>
            <w:tcW w:w="9016" w:type="dxa"/>
            <w:gridSpan w:val="3"/>
            <w:shd w:val="clear" w:color="auto" w:fill="auto"/>
          </w:tcPr>
          <w:p w:rsidR="006F6A67" w:rsidRPr="006F6A67" w:rsidRDefault="003D5331" w:rsidP="006F6A67">
            <w:pPr>
              <w:rPr>
                <w:rFonts w:ascii="Arial" w:hAnsi="Arial"/>
                <w:b/>
              </w:rPr>
            </w:pPr>
            <w:r w:rsidRPr="00E73D2F">
              <w:rPr>
                <w:rFonts w:ascii="Arial" w:hAnsi="Arial"/>
                <w:b/>
              </w:rPr>
              <w:t>Legal Powers / Authority:</w:t>
            </w:r>
            <w:r w:rsidR="006F6A67">
              <w:rPr>
                <w:rFonts w:ascii="Arial" w:hAnsi="Arial"/>
                <w:b/>
              </w:rPr>
              <w:t xml:space="preserve">                                                                                               </w:t>
            </w:r>
            <w:r w:rsidR="006F6A67" w:rsidRPr="000D4E4D">
              <w:rPr>
                <w:rFonts w:ascii="Arial" w:hAnsi="Arial"/>
              </w:rPr>
              <w:t xml:space="preserve"> The Head of Neighbourhood Services has delegated authority within the Constitution as follows:</w:t>
            </w:r>
          </w:p>
          <w:p w:rsidR="006F6A67" w:rsidRPr="000D4E4D" w:rsidRDefault="006F6A67" w:rsidP="006F6A67">
            <w:pPr>
              <w:rPr>
                <w:rFonts w:ascii="Arial" w:hAnsi="Arial"/>
              </w:rPr>
            </w:pPr>
          </w:p>
          <w:p w:rsidR="003D5331" w:rsidRPr="00D27052" w:rsidRDefault="006F6A67" w:rsidP="003D5331">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D27052">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319"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(amend as appropriate)</w:t>
            </w:r>
          </w:p>
          <w:p w:rsidR="008D4EBC" w:rsidRPr="00E73D2F" w:rsidRDefault="008D4EBC" w:rsidP="008D4EBC">
            <w:pPr>
              <w:rPr>
                <w:rFonts w:ascii="Arial" w:hAnsi="Arial"/>
                <w:b/>
              </w:rPr>
            </w:pPr>
          </w:p>
        </w:tc>
      </w:tr>
      <w:tr w:rsidR="00E524AE" w:rsidRPr="00E73D2F" w:rsidTr="00D27052">
        <w:trPr>
          <w:trHeight w:val="27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8F26A7" w:rsidRPr="00F60C00" w:rsidRDefault="00E524AE" w:rsidP="008F26A7">
            <w:pPr>
              <w:ind w:left="720" w:hanging="720"/>
              <w:rPr>
                <w:rFonts w:ascii="Arial" w:hAnsi="Arial"/>
              </w:rPr>
            </w:pPr>
            <w:r w:rsidRPr="00E73D2F">
              <w:rPr>
                <w:rFonts w:ascii="Arial" w:hAnsi="Arial"/>
                <w:b/>
              </w:rPr>
              <w:t xml:space="preserve">Finance: </w:t>
            </w:r>
            <w:r w:rsidR="00F60C00">
              <w:rPr>
                <w:rFonts w:ascii="Arial" w:hAnsi="Arial"/>
              </w:rPr>
              <w:t>The value of this purchase is coming from the Parks budget</w:t>
            </w:r>
          </w:p>
          <w:p w:rsidR="00E524AE" w:rsidRPr="00E73D2F" w:rsidRDefault="00E524AE" w:rsidP="00122023">
            <w:pPr>
              <w:rPr>
                <w:rFonts w:ascii="Arial" w:hAnsi="Arial"/>
                <w:b/>
              </w:rPr>
            </w:pPr>
          </w:p>
        </w:tc>
      </w:tr>
      <w:tr w:rsidR="00E524AE" w:rsidRPr="00E73D2F" w:rsidTr="00D27052">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D27052">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E74CDA">
              <w:rPr>
                <w:rFonts w:ascii="Arial" w:hAnsi="Arial"/>
                <w:b/>
              </w:rPr>
              <w:t xml:space="preserve"> </w:t>
            </w:r>
            <w:r w:rsidR="008F26A7" w:rsidRPr="008F26A7">
              <w:rPr>
                <w:rFonts w:ascii="Arial" w:hAnsi="Arial"/>
              </w:rPr>
              <w:t xml:space="preserve">No implications on the Council. </w:t>
            </w:r>
          </w:p>
          <w:p w:rsidR="00E524AE" w:rsidRPr="00E73D2F" w:rsidRDefault="00E524AE" w:rsidP="003D5331">
            <w:pPr>
              <w:rPr>
                <w:rFonts w:ascii="Arial" w:hAnsi="Arial"/>
                <w:b/>
              </w:rPr>
            </w:pPr>
          </w:p>
        </w:tc>
      </w:tr>
      <w:tr w:rsidR="00E524AE" w:rsidRPr="00E73D2F" w:rsidTr="00D27052">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CE022F" w:rsidRDefault="00E524AE" w:rsidP="003D5331">
            <w:pPr>
              <w:rPr>
                <w:rFonts w:ascii="Arial" w:hAnsi="Arial"/>
              </w:rPr>
            </w:pPr>
            <w:r>
              <w:rPr>
                <w:rFonts w:ascii="Arial" w:hAnsi="Arial"/>
                <w:b/>
              </w:rPr>
              <w:t>Data Protection:</w:t>
            </w:r>
            <w:r w:rsidR="00E74CDA">
              <w:rPr>
                <w:rFonts w:ascii="Arial" w:hAnsi="Arial"/>
                <w:b/>
              </w:rPr>
              <w:t xml:space="preserve"> </w:t>
            </w:r>
            <w:r w:rsidR="00CE022F" w:rsidRPr="00CE022F">
              <w:rPr>
                <w:rFonts w:ascii="Arial" w:hAnsi="Arial"/>
              </w:rPr>
              <w:t>Not applicable</w:t>
            </w:r>
          </w:p>
          <w:p w:rsidR="00E524AE" w:rsidRPr="00E73D2F" w:rsidRDefault="00E524AE" w:rsidP="003D5331">
            <w:pPr>
              <w:rPr>
                <w:rFonts w:ascii="Arial" w:hAnsi="Arial"/>
                <w:b/>
              </w:rPr>
            </w:pPr>
          </w:p>
        </w:tc>
      </w:tr>
      <w:tr w:rsidR="00E524AE" w:rsidRPr="00E73D2F" w:rsidTr="00D27052">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E74CDA">
              <w:rPr>
                <w:rFonts w:ascii="Arial" w:hAnsi="Arial"/>
                <w:b/>
              </w:rPr>
              <w:t xml:space="preserve"> </w:t>
            </w:r>
            <w:r w:rsidR="00FC10F4" w:rsidRPr="00FC10F4">
              <w:rPr>
                <w:rFonts w:ascii="Arial" w:hAnsi="Arial"/>
              </w:rPr>
              <w:t>T</w:t>
            </w:r>
            <w:r w:rsidR="008F26A7" w:rsidRPr="00FC10F4">
              <w:rPr>
                <w:rFonts w:ascii="Arial" w:hAnsi="Arial" w:cs="Arial"/>
              </w:rPr>
              <w:t>he Human Rights Act 1998 is not engaged as an individual is not directly affected by the recommendation</w:t>
            </w:r>
          </w:p>
          <w:p w:rsidR="00E524AE" w:rsidRPr="00E524AE" w:rsidRDefault="00E524AE" w:rsidP="003D5331">
            <w:pPr>
              <w:rPr>
                <w:rFonts w:ascii="Arial" w:hAnsi="Arial"/>
                <w:b/>
              </w:rPr>
            </w:pPr>
          </w:p>
        </w:tc>
      </w:tr>
      <w:tr w:rsidR="00E524AE" w:rsidRPr="00E73D2F" w:rsidTr="00D27052">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E524AE" w:rsidRPr="00CE022F" w:rsidRDefault="008F26A7" w:rsidP="008F26A7">
            <w:pPr>
              <w:rPr>
                <w:rFonts w:ascii="Arial" w:hAnsi="Arial"/>
              </w:rPr>
            </w:pPr>
            <w:r w:rsidRPr="008F26A7">
              <w:rPr>
                <w:rFonts w:ascii="Arial" w:hAnsi="Arial"/>
              </w:rPr>
              <w:t>It is considered that the proposed actions are fair and equitable in their content and are not discriminative on the grounds of equality and human rights.</w:t>
            </w:r>
          </w:p>
          <w:p w:rsidR="00E524AE" w:rsidRPr="00E524AE" w:rsidRDefault="00E524AE" w:rsidP="003D5331">
            <w:pPr>
              <w:rPr>
                <w:rFonts w:ascii="Arial" w:hAnsi="Arial"/>
                <w:b/>
              </w:rPr>
            </w:pPr>
          </w:p>
        </w:tc>
      </w:tr>
      <w:tr w:rsidR="003D5331" w:rsidRPr="00E73D2F" w:rsidTr="00D27052">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319"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362485">
              <w:rPr>
                <w:rFonts w:ascii="Arial" w:hAnsi="Arial"/>
                <w:b/>
              </w:rPr>
              <w:t xml:space="preserve"> </w:t>
            </w:r>
            <w:r w:rsidR="00362485" w:rsidRPr="00362485">
              <w:rPr>
                <w:rFonts w:ascii="Arial" w:hAnsi="Arial"/>
              </w:rPr>
              <w:t>Not applicable</w:t>
            </w:r>
            <w:r w:rsidR="00136429">
              <w:rPr>
                <w:rFonts w:ascii="Arial" w:hAnsi="Arial"/>
              </w:rPr>
              <w:t xml:space="preserve"> (amend as appropriate)</w:t>
            </w:r>
          </w:p>
          <w:p w:rsidR="00E74CDA" w:rsidRPr="00E73D2F" w:rsidRDefault="00E74CDA" w:rsidP="003D5331">
            <w:pPr>
              <w:rPr>
                <w:rFonts w:ascii="Arial" w:hAnsi="Arial"/>
                <w:b/>
              </w:rPr>
            </w:pPr>
          </w:p>
        </w:tc>
      </w:tr>
      <w:tr w:rsidR="003D5331" w:rsidRPr="00E73D2F" w:rsidTr="00D27052">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3D5331" w:rsidRPr="00362485" w:rsidRDefault="003D5331" w:rsidP="00E524AE">
            <w:pPr>
              <w:rPr>
                <w:rFonts w:ascii="Arial" w:hAnsi="Arial"/>
              </w:rPr>
            </w:pPr>
            <w:r w:rsidRPr="00E73D2F">
              <w:rPr>
                <w:rFonts w:ascii="Arial" w:hAnsi="Arial"/>
                <w:b/>
              </w:rPr>
              <w:t>Monitoring Officer:</w:t>
            </w:r>
            <w:r w:rsidR="00A64365">
              <w:rPr>
                <w:rFonts w:ascii="Arial" w:hAnsi="Arial"/>
                <w:b/>
              </w:rPr>
              <w:t xml:space="preserve"> </w:t>
            </w:r>
            <w:r w:rsidR="008F26A7">
              <w:rPr>
                <w:rFonts w:ascii="Arial" w:hAnsi="Arial"/>
              </w:rPr>
              <w:t>No specific comments</w:t>
            </w:r>
          </w:p>
          <w:p w:rsidR="00E74CDA" w:rsidRPr="00E73D2F" w:rsidRDefault="00E74CDA" w:rsidP="00E524AE">
            <w:pPr>
              <w:rPr>
                <w:rFonts w:ascii="Arial" w:hAnsi="Arial"/>
                <w:b/>
              </w:rPr>
            </w:pPr>
          </w:p>
        </w:tc>
      </w:tr>
      <w:tr w:rsidR="003D5331" w:rsidRPr="00E73D2F" w:rsidTr="00D27052">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3D5331" w:rsidRPr="00E73D2F" w:rsidRDefault="003D5331" w:rsidP="008F26A7">
            <w:pPr>
              <w:rPr>
                <w:rFonts w:ascii="Arial" w:hAnsi="Arial"/>
                <w:b/>
              </w:rPr>
            </w:pPr>
            <w:r w:rsidRPr="00E73D2F">
              <w:rPr>
                <w:rFonts w:ascii="Arial" w:hAnsi="Arial"/>
                <w:b/>
              </w:rPr>
              <w:t>Section 151 Officer:</w:t>
            </w:r>
            <w:r w:rsidR="00A64365">
              <w:rPr>
                <w:rFonts w:ascii="Arial" w:hAnsi="Arial"/>
                <w:b/>
              </w:rPr>
              <w:t xml:space="preserve"> </w:t>
            </w:r>
            <w:r w:rsidR="008F26A7">
              <w:rPr>
                <w:rFonts w:ascii="Arial" w:hAnsi="Arial"/>
              </w:rPr>
              <w:t>No specific comments</w:t>
            </w:r>
          </w:p>
        </w:tc>
      </w:tr>
      <w:tr w:rsidR="00046933" w:rsidRPr="00E73D2F" w:rsidTr="00D27052">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lastRenderedPageBreak/>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319" w:type="dxa"/>
            <w:gridSpan w:val="2"/>
            <w:shd w:val="clear" w:color="auto" w:fill="auto"/>
          </w:tcPr>
          <w:p w:rsidR="00046933" w:rsidRDefault="00046933" w:rsidP="003D5331">
            <w:pPr>
              <w:rPr>
                <w:rFonts w:ascii="Arial" w:hAnsi="Arial" w:cs="Arial"/>
                <w:noProof/>
              </w:rPr>
            </w:pPr>
          </w:p>
          <w:p w:rsidR="008D4EBC" w:rsidRPr="00E73D2F" w:rsidRDefault="004B694B"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4C" w:rsidRDefault="00F5224C">
      <w:r>
        <w:separator/>
      </w:r>
    </w:p>
  </w:endnote>
  <w:endnote w:type="continuationSeparator" w:id="0">
    <w:p w:rsidR="00F5224C" w:rsidRDefault="00F5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4C" w:rsidRDefault="00F5224C">
      <w:r>
        <w:separator/>
      </w:r>
    </w:p>
  </w:footnote>
  <w:footnote w:type="continuationSeparator" w:id="0">
    <w:p w:rsidR="00F5224C" w:rsidRDefault="00F5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3E6"/>
    <w:rsid w:val="000C2E4B"/>
    <w:rsid w:val="000C7A93"/>
    <w:rsid w:val="001032FE"/>
    <w:rsid w:val="00122023"/>
    <w:rsid w:val="00136429"/>
    <w:rsid w:val="00154649"/>
    <w:rsid w:val="00165587"/>
    <w:rsid w:val="001E73CC"/>
    <w:rsid w:val="00207CD0"/>
    <w:rsid w:val="00284ECD"/>
    <w:rsid w:val="002B3F1A"/>
    <w:rsid w:val="002D6E1E"/>
    <w:rsid w:val="002E4C1F"/>
    <w:rsid w:val="002E566A"/>
    <w:rsid w:val="00305781"/>
    <w:rsid w:val="0030796A"/>
    <w:rsid w:val="00362485"/>
    <w:rsid w:val="00362D1E"/>
    <w:rsid w:val="00373837"/>
    <w:rsid w:val="003A04B0"/>
    <w:rsid w:val="003D1EFF"/>
    <w:rsid w:val="003D5331"/>
    <w:rsid w:val="004251A2"/>
    <w:rsid w:val="0042662A"/>
    <w:rsid w:val="004437AD"/>
    <w:rsid w:val="004930CB"/>
    <w:rsid w:val="004A4D03"/>
    <w:rsid w:val="004B694B"/>
    <w:rsid w:val="00557B22"/>
    <w:rsid w:val="0058398A"/>
    <w:rsid w:val="00586F20"/>
    <w:rsid w:val="005F66FF"/>
    <w:rsid w:val="00640F4F"/>
    <w:rsid w:val="00693778"/>
    <w:rsid w:val="006C36F8"/>
    <w:rsid w:val="006F6A67"/>
    <w:rsid w:val="00721168"/>
    <w:rsid w:val="00762D5A"/>
    <w:rsid w:val="00771E5A"/>
    <w:rsid w:val="00783F4C"/>
    <w:rsid w:val="00793D98"/>
    <w:rsid w:val="007B7BFB"/>
    <w:rsid w:val="008D4EBC"/>
    <w:rsid w:val="008F1241"/>
    <w:rsid w:val="008F26A7"/>
    <w:rsid w:val="00955030"/>
    <w:rsid w:val="00983AAE"/>
    <w:rsid w:val="00993D2B"/>
    <w:rsid w:val="009B6FB1"/>
    <w:rsid w:val="009C3E0D"/>
    <w:rsid w:val="009D72AA"/>
    <w:rsid w:val="00A564E1"/>
    <w:rsid w:val="00A64365"/>
    <w:rsid w:val="00AE68C9"/>
    <w:rsid w:val="00B01B98"/>
    <w:rsid w:val="00B4001B"/>
    <w:rsid w:val="00B8478B"/>
    <w:rsid w:val="00BB1318"/>
    <w:rsid w:val="00BB48D6"/>
    <w:rsid w:val="00C61517"/>
    <w:rsid w:val="00C81BAE"/>
    <w:rsid w:val="00CE022F"/>
    <w:rsid w:val="00CF547A"/>
    <w:rsid w:val="00D0373E"/>
    <w:rsid w:val="00D27052"/>
    <w:rsid w:val="00D70FF0"/>
    <w:rsid w:val="00DF5B3E"/>
    <w:rsid w:val="00DF795C"/>
    <w:rsid w:val="00E4397C"/>
    <w:rsid w:val="00E524AE"/>
    <w:rsid w:val="00E73048"/>
    <w:rsid w:val="00E73D2F"/>
    <w:rsid w:val="00E74CDA"/>
    <w:rsid w:val="00EA57CD"/>
    <w:rsid w:val="00F5224C"/>
    <w:rsid w:val="00F60C00"/>
    <w:rsid w:val="00FC10F4"/>
    <w:rsid w:val="00FC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1060B"/>
  <w15:chartTrackingRefBased/>
  <w15:docId w15:val="{AA6AEAD2-49AC-487C-9BB3-397489D5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2388</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cp:lastPrinted>2022-04-04T14:17:00Z</cp:lastPrinted>
  <dcterms:created xsi:type="dcterms:W3CDTF">2022-05-19T13:12:00Z</dcterms:created>
  <dcterms:modified xsi:type="dcterms:W3CDTF">2022-05-19T13:12:00Z</dcterms:modified>
</cp:coreProperties>
</file>